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E90E1" w14:textId="1ECAC342" w:rsidR="000833EA" w:rsidRPr="00A44F79" w:rsidRDefault="009D5EA5">
      <w:pPr>
        <w:rPr>
          <w:rFonts w:cstheme="minorHAnsi"/>
          <w:b/>
          <w:sz w:val="48"/>
          <w:szCs w:val="48"/>
        </w:rPr>
      </w:pPr>
      <w:r w:rsidRPr="00A44F79">
        <w:rPr>
          <w:rFonts w:cstheme="minorHAnsi"/>
          <w:b/>
          <w:sz w:val="48"/>
          <w:szCs w:val="48"/>
        </w:rPr>
        <w:t xml:space="preserve">WHAM’s </w:t>
      </w:r>
      <w:r w:rsidR="000833EA" w:rsidRPr="00A44F79">
        <w:rPr>
          <w:rFonts w:cstheme="minorHAnsi"/>
          <w:b/>
          <w:sz w:val="48"/>
          <w:szCs w:val="48"/>
        </w:rPr>
        <w:t>Theor</w:t>
      </w:r>
      <w:r w:rsidR="00A44F79">
        <w:rPr>
          <w:rFonts w:cstheme="minorHAnsi"/>
          <w:b/>
          <w:sz w:val="48"/>
          <w:szCs w:val="48"/>
        </w:rPr>
        <w:t>y of C</w:t>
      </w:r>
      <w:r w:rsidR="000833EA" w:rsidRPr="00A44F79">
        <w:rPr>
          <w:rFonts w:cstheme="minorHAnsi"/>
          <w:b/>
          <w:sz w:val="48"/>
          <w:szCs w:val="48"/>
        </w:rPr>
        <w:t>hange</w:t>
      </w:r>
    </w:p>
    <w:p w14:paraId="29CC0A99" w14:textId="24794CAB" w:rsidR="000833EA" w:rsidRDefault="000833EA">
      <w:pPr>
        <w:rPr>
          <w:rFonts w:cstheme="minorHAnsi"/>
        </w:rPr>
      </w:pPr>
    </w:p>
    <w:p w14:paraId="5C7F0FAA" w14:textId="77777777" w:rsidR="000A0A08" w:rsidRPr="009D5EA5" w:rsidRDefault="000A0A08">
      <w:pPr>
        <w:rPr>
          <w:rFonts w:cstheme="minorHAnsi"/>
        </w:rPr>
      </w:pPr>
    </w:p>
    <w:p w14:paraId="16E2B5AF" w14:textId="77777777" w:rsidR="009D5EA5" w:rsidRDefault="000833EA" w:rsidP="000833EA">
      <w:pPr>
        <w:pStyle w:val="NormalWeb"/>
        <w:shd w:val="clear" w:color="auto" w:fill="FFFFFF"/>
        <w:spacing w:before="0" w:beforeAutospacing="0" w:after="240" w:afterAutospacing="0"/>
        <w:rPr>
          <w:rFonts w:asciiTheme="minorHAnsi" w:hAnsiTheme="minorHAnsi" w:cstheme="minorHAnsi"/>
          <w:color w:val="1E1E1E"/>
        </w:rPr>
      </w:pPr>
      <w:r w:rsidRPr="009D5EA5">
        <w:rPr>
          <w:rFonts w:asciiTheme="minorHAnsi" w:hAnsiTheme="minorHAnsi" w:cstheme="minorHAnsi"/>
          <w:color w:val="1E1E1E"/>
        </w:rPr>
        <w:t>WHAM be</w:t>
      </w:r>
      <w:r w:rsidR="009D5EA5">
        <w:rPr>
          <w:rFonts w:asciiTheme="minorHAnsi" w:hAnsiTheme="minorHAnsi" w:cstheme="minorHAnsi"/>
          <w:color w:val="1E1E1E"/>
        </w:rPr>
        <w:t xml:space="preserve">lieves that change starts small. </w:t>
      </w:r>
    </w:p>
    <w:p w14:paraId="165E0B25" w14:textId="09B4891E" w:rsidR="000833EA" w:rsidRDefault="009D5EA5" w:rsidP="000833EA">
      <w:pPr>
        <w:pStyle w:val="NormalWeb"/>
        <w:shd w:val="clear" w:color="auto" w:fill="FFFFFF"/>
        <w:spacing w:before="0" w:beforeAutospacing="0" w:after="240" w:afterAutospacing="0"/>
        <w:rPr>
          <w:rFonts w:asciiTheme="minorHAnsi" w:hAnsiTheme="minorHAnsi" w:cstheme="minorHAnsi"/>
          <w:color w:val="1E1E1E"/>
        </w:rPr>
      </w:pPr>
      <w:r>
        <w:rPr>
          <w:rFonts w:asciiTheme="minorHAnsi" w:hAnsiTheme="minorHAnsi" w:cstheme="minorHAnsi"/>
          <w:color w:val="1E1E1E"/>
        </w:rPr>
        <w:t>Our approach aims to</w:t>
      </w:r>
      <w:r w:rsidR="000833EA" w:rsidRPr="009D5EA5">
        <w:rPr>
          <w:rFonts w:asciiTheme="minorHAnsi" w:hAnsiTheme="minorHAnsi" w:cstheme="minorHAnsi"/>
          <w:color w:val="1E1E1E"/>
        </w:rPr>
        <w:t xml:space="preserve"> embed</w:t>
      </w:r>
      <w:r>
        <w:rPr>
          <w:rFonts w:asciiTheme="minorHAnsi" w:hAnsiTheme="minorHAnsi" w:cstheme="minorHAnsi"/>
          <w:color w:val="1E1E1E"/>
        </w:rPr>
        <w:t xml:space="preserve"> an ‘improvement mindset’ focussed on addressing health inequalities</w:t>
      </w:r>
      <w:r w:rsidR="00AD5D3B">
        <w:rPr>
          <w:rFonts w:asciiTheme="minorHAnsi" w:hAnsiTheme="minorHAnsi" w:cstheme="minorHAnsi"/>
          <w:color w:val="1E1E1E"/>
        </w:rPr>
        <w:t xml:space="preserve"> into the health system</w:t>
      </w:r>
      <w:r>
        <w:rPr>
          <w:rFonts w:asciiTheme="minorHAnsi" w:hAnsiTheme="minorHAnsi" w:cstheme="minorHAnsi"/>
          <w:color w:val="1E1E1E"/>
        </w:rPr>
        <w:t>. We believe improvement should be ‘business as usual’ in the health service, not a special activity for special individual</w:t>
      </w:r>
      <w:r w:rsidR="00AD5D3B">
        <w:rPr>
          <w:rFonts w:asciiTheme="minorHAnsi" w:hAnsiTheme="minorHAnsi" w:cstheme="minorHAnsi"/>
          <w:color w:val="1E1E1E"/>
        </w:rPr>
        <w:t>s</w:t>
      </w:r>
      <w:r>
        <w:rPr>
          <w:rFonts w:asciiTheme="minorHAnsi" w:hAnsiTheme="minorHAnsi" w:cstheme="minorHAnsi"/>
          <w:color w:val="1E1E1E"/>
        </w:rPr>
        <w:t>. In this way, WHAM hopes to</w:t>
      </w:r>
      <w:r w:rsidR="000833EA" w:rsidRPr="009D5EA5">
        <w:rPr>
          <w:rFonts w:asciiTheme="minorHAnsi" w:hAnsiTheme="minorHAnsi" w:cstheme="minorHAnsi"/>
          <w:color w:val="1E1E1E"/>
        </w:rPr>
        <w:t xml:space="preserve"> shift the medical profession </w:t>
      </w:r>
      <w:r w:rsidR="00AD5D3B">
        <w:rPr>
          <w:rFonts w:asciiTheme="minorHAnsi" w:hAnsiTheme="minorHAnsi" w:cstheme="minorHAnsi"/>
          <w:color w:val="1E1E1E"/>
        </w:rPr>
        <w:t xml:space="preserve">away </w:t>
      </w:r>
      <w:r w:rsidR="000833EA" w:rsidRPr="009D5EA5">
        <w:rPr>
          <w:rFonts w:asciiTheme="minorHAnsi" w:hAnsiTheme="minorHAnsi" w:cstheme="minorHAnsi"/>
          <w:color w:val="1E1E1E"/>
        </w:rPr>
        <w:t xml:space="preserve">from </w:t>
      </w:r>
      <w:r>
        <w:rPr>
          <w:rFonts w:asciiTheme="minorHAnsi" w:hAnsiTheme="minorHAnsi" w:cstheme="minorHAnsi"/>
          <w:color w:val="1E1E1E"/>
        </w:rPr>
        <w:t>the current</w:t>
      </w:r>
      <w:r w:rsidR="000833EA" w:rsidRPr="009D5EA5">
        <w:rPr>
          <w:rFonts w:asciiTheme="minorHAnsi" w:hAnsiTheme="minorHAnsi" w:cstheme="minorHAnsi"/>
          <w:color w:val="1E1E1E"/>
        </w:rPr>
        <w:t xml:space="preserve"> siloed way of working that has gone on</w:t>
      </w:r>
      <w:r>
        <w:rPr>
          <w:rFonts w:asciiTheme="minorHAnsi" w:hAnsiTheme="minorHAnsi" w:cstheme="minorHAnsi"/>
          <w:color w:val="1E1E1E"/>
        </w:rPr>
        <w:t xml:space="preserve"> for far too long, and which is serving neither our patients nor the people who work in the health system.</w:t>
      </w:r>
    </w:p>
    <w:p w14:paraId="573D963C" w14:textId="05AA0A40" w:rsidR="00A82E1D" w:rsidRDefault="009D5EA5" w:rsidP="000833EA">
      <w:pPr>
        <w:pStyle w:val="NormalWeb"/>
        <w:shd w:val="clear" w:color="auto" w:fill="FFFFFF"/>
        <w:spacing w:before="0" w:beforeAutospacing="0" w:after="240" w:afterAutospacing="0"/>
        <w:rPr>
          <w:rFonts w:asciiTheme="minorHAnsi" w:hAnsiTheme="minorHAnsi" w:cstheme="minorHAnsi"/>
          <w:color w:val="1E1E1E"/>
        </w:rPr>
      </w:pPr>
      <w:r>
        <w:rPr>
          <w:rFonts w:asciiTheme="minorHAnsi" w:hAnsiTheme="minorHAnsi" w:cstheme="minorHAnsi"/>
          <w:color w:val="1E1E1E"/>
        </w:rPr>
        <w:t>We are conscious that the responsib</w:t>
      </w:r>
      <w:r w:rsidR="00AD5D3B">
        <w:rPr>
          <w:rFonts w:asciiTheme="minorHAnsi" w:hAnsiTheme="minorHAnsi" w:cstheme="minorHAnsi"/>
          <w:color w:val="1E1E1E"/>
        </w:rPr>
        <w:t>i</w:t>
      </w:r>
      <w:r>
        <w:rPr>
          <w:rFonts w:asciiTheme="minorHAnsi" w:hAnsiTheme="minorHAnsi" w:cstheme="minorHAnsi"/>
          <w:color w:val="1E1E1E"/>
        </w:rPr>
        <w:t>lity to address health inequal</w:t>
      </w:r>
      <w:r w:rsidR="00AD5D3B">
        <w:rPr>
          <w:rFonts w:asciiTheme="minorHAnsi" w:hAnsiTheme="minorHAnsi" w:cstheme="minorHAnsi"/>
          <w:color w:val="1E1E1E"/>
        </w:rPr>
        <w:t>i</w:t>
      </w:r>
      <w:r>
        <w:rPr>
          <w:rFonts w:asciiTheme="minorHAnsi" w:hAnsiTheme="minorHAnsi" w:cstheme="minorHAnsi"/>
          <w:color w:val="1E1E1E"/>
        </w:rPr>
        <w:t xml:space="preserve">ty does not rest solely with clinicians or their patients. Rather, WHAM </w:t>
      </w:r>
      <w:r w:rsidR="00316E5E">
        <w:rPr>
          <w:rFonts w:asciiTheme="minorHAnsi" w:hAnsiTheme="minorHAnsi" w:cstheme="minorHAnsi"/>
          <w:color w:val="1E1E1E"/>
        </w:rPr>
        <w:t>seeks</w:t>
      </w:r>
      <w:r>
        <w:rPr>
          <w:rFonts w:asciiTheme="minorHAnsi" w:hAnsiTheme="minorHAnsi" w:cstheme="minorHAnsi"/>
          <w:color w:val="1E1E1E"/>
        </w:rPr>
        <w:t xml:space="preserve"> to empower both</w:t>
      </w:r>
      <w:r w:rsidR="00316E5E">
        <w:rPr>
          <w:rFonts w:asciiTheme="minorHAnsi" w:hAnsiTheme="minorHAnsi" w:cstheme="minorHAnsi"/>
          <w:color w:val="1E1E1E"/>
        </w:rPr>
        <w:t xml:space="preserve"> clinicians and their</w:t>
      </w:r>
      <w:r>
        <w:rPr>
          <w:rFonts w:asciiTheme="minorHAnsi" w:hAnsiTheme="minorHAnsi" w:cstheme="minorHAnsi"/>
          <w:color w:val="1E1E1E"/>
        </w:rPr>
        <w:t xml:space="preserve"> patients</w:t>
      </w:r>
      <w:r w:rsidR="00316E5E">
        <w:rPr>
          <w:rFonts w:asciiTheme="minorHAnsi" w:hAnsiTheme="minorHAnsi" w:cstheme="minorHAnsi"/>
          <w:color w:val="1E1E1E"/>
        </w:rPr>
        <w:t xml:space="preserve"> </w:t>
      </w:r>
      <w:r>
        <w:rPr>
          <w:rFonts w:asciiTheme="minorHAnsi" w:hAnsiTheme="minorHAnsi" w:cstheme="minorHAnsi"/>
          <w:color w:val="1E1E1E"/>
        </w:rPr>
        <w:t xml:space="preserve"> to be </w:t>
      </w:r>
      <w:r w:rsidRPr="00316E5E">
        <w:rPr>
          <w:rFonts w:asciiTheme="minorHAnsi" w:hAnsiTheme="minorHAnsi" w:cstheme="minorHAnsi"/>
          <w:b/>
          <w:color w:val="1E1E1E"/>
        </w:rPr>
        <w:t>change makers</w:t>
      </w:r>
      <w:r>
        <w:rPr>
          <w:rFonts w:asciiTheme="minorHAnsi" w:hAnsiTheme="minorHAnsi" w:cstheme="minorHAnsi"/>
          <w:color w:val="1E1E1E"/>
        </w:rPr>
        <w:t xml:space="preserve">. </w:t>
      </w:r>
      <w:r w:rsidR="000833EA" w:rsidRPr="009D5EA5">
        <w:rPr>
          <w:rFonts w:asciiTheme="minorHAnsi" w:hAnsiTheme="minorHAnsi" w:cstheme="minorHAnsi"/>
          <w:color w:val="1E1E1E"/>
        </w:rPr>
        <w:t>Ultimately, clinicians need to be empowered to be able to stand</w:t>
      </w:r>
      <w:r w:rsidR="000833EA" w:rsidRPr="009D5EA5">
        <w:rPr>
          <w:rFonts w:asciiTheme="minorHAnsi" w:hAnsiTheme="minorHAnsi" w:cstheme="minorHAnsi"/>
          <w:color w:val="1E1E1E"/>
        </w:rPr>
        <w:t xml:space="preserve"> with</w:t>
      </w:r>
      <w:r w:rsidR="000833EA" w:rsidRPr="009D5EA5">
        <w:rPr>
          <w:rFonts w:asciiTheme="minorHAnsi" w:hAnsiTheme="minorHAnsi" w:cstheme="minorHAnsi"/>
          <w:color w:val="1E1E1E"/>
        </w:rPr>
        <w:t xml:space="preserve"> </w:t>
      </w:r>
      <w:r w:rsidR="000833EA" w:rsidRPr="009D5EA5">
        <w:rPr>
          <w:rFonts w:asciiTheme="minorHAnsi" w:hAnsiTheme="minorHAnsi" w:cstheme="minorHAnsi"/>
          <w:color w:val="1E1E1E"/>
        </w:rPr>
        <w:t>our patients and other partners who should have influence on the social determinants – such as education, youth services, social services, police, probation</w:t>
      </w:r>
      <w:r w:rsidR="00316E5E">
        <w:rPr>
          <w:rFonts w:asciiTheme="minorHAnsi" w:hAnsiTheme="minorHAnsi" w:cstheme="minorHAnsi"/>
          <w:color w:val="1E1E1E"/>
        </w:rPr>
        <w:t xml:space="preserve"> etc</w:t>
      </w:r>
      <w:r w:rsidR="000833EA" w:rsidRPr="009D5EA5">
        <w:rPr>
          <w:rFonts w:asciiTheme="minorHAnsi" w:hAnsiTheme="minorHAnsi" w:cstheme="minorHAnsi"/>
          <w:color w:val="1E1E1E"/>
        </w:rPr>
        <w:t xml:space="preserve"> - </w:t>
      </w:r>
      <w:r w:rsidR="000833EA" w:rsidRPr="009D5EA5">
        <w:rPr>
          <w:rFonts w:asciiTheme="minorHAnsi" w:hAnsiTheme="minorHAnsi" w:cstheme="minorHAnsi"/>
          <w:color w:val="1E1E1E"/>
        </w:rPr>
        <w:t xml:space="preserve">to call for a better world for our children to grow up in. We hope our project </w:t>
      </w:r>
      <w:r w:rsidR="00316E5E">
        <w:rPr>
          <w:rFonts w:asciiTheme="minorHAnsi" w:hAnsiTheme="minorHAnsi" w:cstheme="minorHAnsi"/>
          <w:color w:val="1E1E1E"/>
        </w:rPr>
        <w:t>will sow</w:t>
      </w:r>
      <w:r w:rsidR="000833EA" w:rsidRPr="009D5EA5">
        <w:rPr>
          <w:rFonts w:asciiTheme="minorHAnsi" w:hAnsiTheme="minorHAnsi" w:cstheme="minorHAnsi"/>
          <w:color w:val="1E1E1E"/>
        </w:rPr>
        <w:t xml:space="preserve"> the seeds for </w:t>
      </w:r>
      <w:r w:rsidR="00316E5E">
        <w:rPr>
          <w:rFonts w:asciiTheme="minorHAnsi" w:hAnsiTheme="minorHAnsi" w:cstheme="minorHAnsi"/>
          <w:color w:val="1E1E1E"/>
        </w:rPr>
        <w:t xml:space="preserve">the necessary  transformation that is </w:t>
      </w:r>
      <w:r w:rsidR="000833EA" w:rsidRPr="009D5EA5">
        <w:rPr>
          <w:rFonts w:asciiTheme="minorHAnsi" w:hAnsiTheme="minorHAnsi" w:cstheme="minorHAnsi"/>
          <w:color w:val="1E1E1E"/>
        </w:rPr>
        <w:t>r</w:t>
      </w:r>
      <w:r w:rsidR="00316E5E">
        <w:rPr>
          <w:rFonts w:asciiTheme="minorHAnsi" w:hAnsiTheme="minorHAnsi" w:cstheme="minorHAnsi"/>
          <w:color w:val="1E1E1E"/>
        </w:rPr>
        <w:t>e</w:t>
      </w:r>
      <w:r w:rsidR="000833EA" w:rsidRPr="009D5EA5">
        <w:rPr>
          <w:rFonts w:asciiTheme="minorHAnsi" w:hAnsiTheme="minorHAnsi" w:cstheme="minorHAnsi"/>
          <w:color w:val="1E1E1E"/>
        </w:rPr>
        <w:t>quired in th</w:t>
      </w:r>
      <w:r w:rsidR="00316E5E">
        <w:rPr>
          <w:rFonts w:asciiTheme="minorHAnsi" w:hAnsiTheme="minorHAnsi" w:cstheme="minorHAnsi"/>
          <w:color w:val="1E1E1E"/>
        </w:rPr>
        <w:t>e</w:t>
      </w:r>
      <w:r w:rsidR="000833EA" w:rsidRPr="009D5EA5">
        <w:rPr>
          <w:rFonts w:asciiTheme="minorHAnsi" w:hAnsiTheme="minorHAnsi" w:cstheme="minorHAnsi"/>
          <w:color w:val="1E1E1E"/>
        </w:rPr>
        <w:t xml:space="preserve"> </w:t>
      </w:r>
      <w:r w:rsidR="00316E5E">
        <w:rPr>
          <w:rFonts w:asciiTheme="minorHAnsi" w:hAnsiTheme="minorHAnsi" w:cstheme="minorHAnsi"/>
          <w:color w:val="1E1E1E"/>
        </w:rPr>
        <w:t>m</w:t>
      </w:r>
      <w:r w:rsidR="000833EA" w:rsidRPr="009D5EA5">
        <w:rPr>
          <w:rFonts w:asciiTheme="minorHAnsi" w:hAnsiTheme="minorHAnsi" w:cstheme="minorHAnsi"/>
          <w:color w:val="1E1E1E"/>
        </w:rPr>
        <w:t xml:space="preserve">edical </w:t>
      </w:r>
      <w:r w:rsidR="00316E5E">
        <w:rPr>
          <w:rFonts w:asciiTheme="minorHAnsi" w:hAnsiTheme="minorHAnsi" w:cstheme="minorHAnsi"/>
          <w:color w:val="1E1E1E"/>
        </w:rPr>
        <w:t>profession.</w:t>
      </w:r>
    </w:p>
    <w:p w14:paraId="10426976" w14:textId="17E806BE" w:rsidR="00A82E1D" w:rsidRDefault="00A82E1D" w:rsidP="000833EA">
      <w:pPr>
        <w:pStyle w:val="NormalWeb"/>
        <w:shd w:val="clear" w:color="auto" w:fill="FFFFFF"/>
        <w:spacing w:before="0" w:beforeAutospacing="0" w:after="240" w:afterAutospacing="0"/>
        <w:rPr>
          <w:rFonts w:asciiTheme="minorHAnsi" w:hAnsiTheme="minorHAnsi" w:cstheme="minorHAnsi"/>
          <w:color w:val="1E1E1E"/>
        </w:rPr>
      </w:pPr>
    </w:p>
    <w:p w14:paraId="3B57703B" w14:textId="77777777" w:rsidR="000A0A08" w:rsidRDefault="000A0A08" w:rsidP="000833EA">
      <w:pPr>
        <w:pStyle w:val="NormalWeb"/>
        <w:shd w:val="clear" w:color="auto" w:fill="FFFFFF"/>
        <w:spacing w:before="0" w:beforeAutospacing="0" w:after="240" w:afterAutospacing="0"/>
        <w:rPr>
          <w:rFonts w:asciiTheme="minorHAnsi" w:hAnsiTheme="minorHAnsi" w:cstheme="minorHAnsi"/>
          <w:color w:val="1E1E1E"/>
        </w:rPr>
      </w:pPr>
    </w:p>
    <w:p w14:paraId="2CFEB01C" w14:textId="1D216023" w:rsidR="00A44F79" w:rsidRDefault="00A44F79" w:rsidP="000833EA">
      <w:pPr>
        <w:pStyle w:val="NormalWeb"/>
        <w:shd w:val="clear" w:color="auto" w:fill="FFFFFF"/>
        <w:spacing w:before="0" w:beforeAutospacing="0" w:after="240" w:afterAutospacing="0"/>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cstheme="minorHAnsi"/>
          <w:b/>
          <w:noProof/>
          <w:color w:val="000000" w:themeColor="text1"/>
          <w:sz w:val="44"/>
          <w:szCs w:val="44"/>
        </w:rPr>
        <mc:AlternateContent>
          <mc:Choice Requires="wps">
            <w:drawing>
              <wp:anchor distT="0" distB="0" distL="114300" distR="114300" simplePos="0" relativeHeight="251659264" behindDoc="0" locked="0" layoutInCell="1" allowOverlap="1" wp14:anchorId="3ACE8E80" wp14:editId="3C806784">
                <wp:simplePos x="0" y="0"/>
                <wp:positionH relativeFrom="column">
                  <wp:posOffset>4671695</wp:posOffset>
                </wp:positionH>
                <wp:positionV relativeFrom="paragraph">
                  <wp:posOffset>196850</wp:posOffset>
                </wp:positionV>
                <wp:extent cx="733778" cy="0"/>
                <wp:effectExtent l="0" t="152400" r="0" b="152400"/>
                <wp:wrapNone/>
                <wp:docPr id="2" name="Straight Arrow Connector 2"/>
                <wp:cNvGraphicFramePr/>
                <a:graphic xmlns:a="http://schemas.openxmlformats.org/drawingml/2006/main">
                  <a:graphicData uri="http://schemas.microsoft.com/office/word/2010/wordprocessingShape">
                    <wps:wsp>
                      <wps:cNvCnPr/>
                      <wps:spPr>
                        <a:xfrm>
                          <a:off x="0" y="0"/>
                          <a:ext cx="7337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985094" id="_x0000_t32" coordsize="21600,21600" o:spt="32" o:oned="t" path="m,l21600,21600e" filled="f">
                <v:path arrowok="t" fillok="f" o:connecttype="none"/>
                <o:lock v:ext="edit" shapetype="t"/>
              </v:shapetype>
              <v:shape id="Straight Arrow Connector 2" o:spid="_x0000_s1026" type="#_x0000_t32" style="position:absolute;margin-left:367.85pt;margin-top:15.5pt;width:57.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" strokecolor="black [3213]" strokeweight="6pt">
                <v:stroke endarrow="block" joinstyle="miter"/>
              </v:shape>
            </w:pict>
          </mc:Fallback>
        </mc:AlternateContent>
      </w:r>
      <w:r w:rsidR="00A82E1D">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Empowering</w:t>
      </w:r>
      <w:r>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D5D3B">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E1D">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A82E1D" w:rsidRPr="00A82E1D">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ervice Users</w:t>
      </w:r>
      <w:r w:rsidR="00A82E1D">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Clinicians</w:t>
      </w:r>
      <w:r>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Equitable Health Systems   </w:t>
      </w:r>
    </w:p>
    <w:p w14:paraId="30DE4B41" w14:textId="7B7AB1AA" w:rsidR="000833EA" w:rsidRPr="009D5EA5" w:rsidRDefault="00A44F79" w:rsidP="000833EA">
      <w:pPr>
        <w:pStyle w:val="NormalWeb"/>
        <w:shd w:val="clear" w:color="auto" w:fill="FFFFFF"/>
        <w:spacing w:before="0" w:beforeAutospacing="0" w:after="240" w:afterAutospacing="0"/>
        <w:rPr>
          <w:rFonts w:asciiTheme="minorHAnsi" w:hAnsiTheme="minorHAnsi" w:cstheme="minorHAnsi"/>
          <w:color w:val="1E1E1E"/>
        </w:rPr>
      </w:pPr>
      <w:r>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E1D">
        <w:rPr>
          <w:rFonts w:asciiTheme="minorHAnsi" w:hAnsiTheme="minorHAnsi" w:cstheme="minorHAnsi"/>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C7693E0" w14:textId="77777777" w:rsidR="000833EA" w:rsidRPr="009D5EA5" w:rsidRDefault="000833EA">
      <w:pPr>
        <w:rPr>
          <w:rFonts w:cstheme="minorHAnsi"/>
          <w:lang w:val="ca-ES"/>
        </w:rPr>
      </w:pPr>
    </w:p>
    <w:p w14:paraId="1278C5BE" w14:textId="77777777" w:rsidR="000833EA" w:rsidRPr="009D5EA5" w:rsidRDefault="000833EA">
      <w:pPr>
        <w:rPr>
          <w:rFonts w:cstheme="minorHAnsi"/>
        </w:rPr>
      </w:pPr>
      <w:r w:rsidRPr="009D5EA5">
        <w:rPr>
          <w:rFonts w:cstheme="minorHAnsi"/>
        </w:rPr>
        <w:br w:type="page"/>
      </w:r>
    </w:p>
    <w:p w14:paraId="21D23B5C" w14:textId="1F460EB1" w:rsidR="00653E9F" w:rsidRDefault="00653E9F" w:rsidP="00653E9F">
      <w:pPr>
        <w:rPr>
          <w:b/>
          <w:sz w:val="36"/>
          <w:szCs w:val="36"/>
        </w:rPr>
      </w:pPr>
      <w:r w:rsidRPr="000A0A08">
        <w:rPr>
          <w:b/>
          <w:sz w:val="36"/>
          <w:szCs w:val="36"/>
        </w:rPr>
        <w:lastRenderedPageBreak/>
        <w:t>Powering</w:t>
      </w:r>
      <w:r w:rsidRPr="000A0A08">
        <w:rPr>
          <w:b/>
          <w:sz w:val="36"/>
          <w:szCs w:val="36"/>
        </w:rPr>
        <w:t xml:space="preserve"> Up</w:t>
      </w:r>
      <w:r w:rsidRPr="000A0A08">
        <w:rPr>
          <w:b/>
          <w:sz w:val="36"/>
          <w:szCs w:val="36"/>
        </w:rPr>
        <w:t xml:space="preserve"> Delivery Plan</w:t>
      </w:r>
    </w:p>
    <w:p w14:paraId="524EF73D" w14:textId="77777777" w:rsidR="000A0A08" w:rsidRDefault="000A0A08" w:rsidP="000A0A08">
      <w:pPr>
        <w:rPr>
          <w:sz w:val="20"/>
          <w:szCs w:val="20"/>
        </w:rPr>
      </w:pPr>
    </w:p>
    <w:p w14:paraId="2ED12F1A" w14:textId="74CEE779" w:rsidR="00C015B5" w:rsidRDefault="000A0A08">
      <w:pPr>
        <w:rPr>
          <w:sz w:val="20"/>
          <w:szCs w:val="20"/>
        </w:rPr>
      </w:pPr>
      <w:r>
        <w:rPr>
          <w:sz w:val="20"/>
          <w:szCs w:val="20"/>
        </w:rPr>
        <w:t>*</w:t>
      </w:r>
      <w:r w:rsidR="00720AA1" w:rsidRPr="00720AA1">
        <w:t xml:space="preserve"> </w:t>
      </w:r>
      <w:r w:rsidR="00720AA1">
        <w:t>We will take an agile, iterative approach to 'adopt and adapt' ideas (See Delivery Plan)</w:t>
      </w:r>
      <w:r w:rsidR="00720AA1" w:rsidRPr="000A0A08">
        <w:rPr>
          <w:sz w:val="20"/>
          <w:szCs w:val="20"/>
        </w:rPr>
        <w:t xml:space="preserve"> </w:t>
      </w:r>
      <w:r w:rsidRPr="000A0A08">
        <w:rPr>
          <w:sz w:val="20"/>
          <w:szCs w:val="20"/>
        </w:rPr>
        <w:t xml:space="preserve">Powering Up is a project aimed at co-producing solutions to the problems raised by health inequalities for young people with chronic conditions. </w:t>
      </w:r>
      <w:r w:rsidR="00973DFD">
        <w:rPr>
          <w:sz w:val="20"/>
          <w:szCs w:val="20"/>
        </w:rPr>
        <w:t xml:space="preserve">This </w:t>
      </w:r>
      <w:r w:rsidR="000439DF">
        <w:rPr>
          <w:sz w:val="20"/>
          <w:szCs w:val="20"/>
        </w:rPr>
        <w:t>c</w:t>
      </w:r>
      <w:r w:rsidR="00973DFD">
        <w:rPr>
          <w:sz w:val="20"/>
          <w:szCs w:val="20"/>
        </w:rPr>
        <w:t>olumn merely hints at some of the issues we may cover, but of course, it will be the YP themselves who will determine the course of this project.</w:t>
      </w:r>
      <w:r w:rsidRPr="000A0A08">
        <w:rPr>
          <w:sz w:val="20"/>
          <w:szCs w:val="20"/>
        </w:rPr>
        <w:t xml:space="preserve"> </w:t>
      </w:r>
    </w:p>
    <w:p w14:paraId="1E3B62F4" w14:textId="71358F8E" w:rsidR="008561FC" w:rsidRPr="00CC52C4" w:rsidRDefault="00EF1239">
      <w:r w:rsidRPr="00CC52C4">
        <w:tab/>
      </w:r>
      <w:r w:rsidRPr="00CC52C4">
        <w:tab/>
      </w:r>
      <w:r w:rsidRPr="00CC52C4">
        <w:tab/>
      </w:r>
      <w:r w:rsidRPr="00CC52C4">
        <w:tab/>
      </w:r>
    </w:p>
    <w:tbl>
      <w:tblPr>
        <w:tblStyle w:val="TableGrid"/>
        <w:tblW w:w="0" w:type="auto"/>
        <w:tblLook w:val="04A0" w:firstRow="1" w:lastRow="0" w:firstColumn="1" w:lastColumn="0" w:noHBand="0" w:noVBand="1"/>
      </w:tblPr>
      <w:tblGrid>
        <w:gridCol w:w="1980"/>
        <w:gridCol w:w="3118"/>
        <w:gridCol w:w="5387"/>
        <w:gridCol w:w="3463"/>
      </w:tblGrid>
      <w:tr w:rsidR="00653E9F" w:rsidRPr="000A0A08" w14:paraId="0E5527D0" w14:textId="77777777" w:rsidTr="000439DF">
        <w:trPr>
          <w:trHeight w:val="689"/>
        </w:trPr>
        <w:tc>
          <w:tcPr>
            <w:tcW w:w="1980" w:type="dxa"/>
            <w:tcBorders>
              <w:bottom w:val="single" w:sz="4" w:space="0" w:color="auto"/>
            </w:tcBorders>
            <w:shd w:val="clear" w:color="auto" w:fill="ED7D31" w:themeFill="accent2"/>
          </w:tcPr>
          <w:p w14:paraId="5DAE9346" w14:textId="5C522F50" w:rsidR="00653E9F" w:rsidRPr="000A0A08" w:rsidRDefault="00653E9F" w:rsidP="00101B29">
            <w:pPr>
              <w:jc w:val="center"/>
              <w:rPr>
                <w:b/>
                <w:bCs/>
              </w:rPr>
            </w:pPr>
            <w:r w:rsidRPr="000A0A08">
              <w:rPr>
                <w:b/>
                <w:bCs/>
              </w:rPr>
              <w:t>ACTIVITY</w:t>
            </w:r>
          </w:p>
        </w:tc>
        <w:tc>
          <w:tcPr>
            <w:tcW w:w="3118" w:type="dxa"/>
            <w:tcBorders>
              <w:bottom w:val="single" w:sz="4" w:space="0" w:color="auto"/>
            </w:tcBorders>
            <w:shd w:val="clear" w:color="auto" w:fill="ED7D31" w:themeFill="accent2"/>
          </w:tcPr>
          <w:p w14:paraId="2D9340B3" w14:textId="71694D77" w:rsidR="00653E9F" w:rsidRPr="000A0A08" w:rsidRDefault="000A0A08" w:rsidP="00101B29">
            <w:pPr>
              <w:jc w:val="center"/>
              <w:rPr>
                <w:b/>
                <w:bCs/>
              </w:rPr>
            </w:pPr>
            <w:r w:rsidRPr="000A0A08">
              <w:rPr>
                <w:b/>
                <w:bCs/>
              </w:rPr>
              <w:t xml:space="preserve">POSSIBLE AIMS </w:t>
            </w:r>
            <w:r w:rsidR="00904FCA">
              <w:rPr>
                <w:b/>
                <w:bCs/>
              </w:rPr>
              <w:t>&amp; CHANGE IDEAS</w:t>
            </w:r>
            <w:r>
              <w:rPr>
                <w:b/>
                <w:bCs/>
              </w:rPr>
              <w:t>*</w:t>
            </w:r>
          </w:p>
        </w:tc>
        <w:tc>
          <w:tcPr>
            <w:tcW w:w="5387" w:type="dxa"/>
            <w:tcBorders>
              <w:bottom w:val="single" w:sz="4" w:space="0" w:color="auto"/>
            </w:tcBorders>
            <w:shd w:val="clear" w:color="auto" w:fill="ED7D31" w:themeFill="accent2"/>
          </w:tcPr>
          <w:p w14:paraId="0D54D041" w14:textId="29FB6D0C" w:rsidR="00653E9F" w:rsidRPr="000A0A08" w:rsidRDefault="00653E9F" w:rsidP="00101B29">
            <w:pPr>
              <w:jc w:val="center"/>
              <w:rPr>
                <w:b/>
                <w:bCs/>
              </w:rPr>
            </w:pPr>
            <w:r w:rsidRPr="000A0A08">
              <w:rPr>
                <w:b/>
                <w:bCs/>
              </w:rPr>
              <w:t>COLLABORATORS</w:t>
            </w:r>
          </w:p>
        </w:tc>
        <w:tc>
          <w:tcPr>
            <w:tcW w:w="3463" w:type="dxa"/>
            <w:tcBorders>
              <w:bottom w:val="single" w:sz="4" w:space="0" w:color="auto"/>
            </w:tcBorders>
            <w:shd w:val="clear" w:color="auto" w:fill="ED7D31" w:themeFill="accent2"/>
          </w:tcPr>
          <w:p w14:paraId="09C60FB4" w14:textId="3460D9FE" w:rsidR="00653E9F" w:rsidRPr="000A0A08" w:rsidRDefault="00653E9F" w:rsidP="00101B29">
            <w:pPr>
              <w:jc w:val="center"/>
              <w:rPr>
                <w:b/>
                <w:bCs/>
              </w:rPr>
            </w:pPr>
            <w:r w:rsidRPr="000A0A08">
              <w:rPr>
                <w:b/>
                <w:bCs/>
              </w:rPr>
              <w:t>CONSIDERATIONS</w:t>
            </w:r>
          </w:p>
        </w:tc>
      </w:tr>
      <w:tr w:rsidR="00653E9F" w:rsidRPr="000439DF" w14:paraId="0D01B1ED" w14:textId="77777777" w:rsidTr="000439DF">
        <w:trPr>
          <w:trHeight w:val="1408"/>
        </w:trPr>
        <w:tc>
          <w:tcPr>
            <w:tcW w:w="1980" w:type="dxa"/>
            <w:tcBorders>
              <w:bottom w:val="single" w:sz="4" w:space="0" w:color="auto"/>
            </w:tcBorders>
            <w:shd w:val="clear" w:color="auto" w:fill="DEEAF6" w:themeFill="accent5" w:themeFillTint="33"/>
          </w:tcPr>
          <w:p w14:paraId="73E50B9C" w14:textId="0C3C4689" w:rsidR="00653E9F" w:rsidRPr="000439DF" w:rsidRDefault="00653E9F">
            <w:pPr>
              <w:rPr>
                <w:b/>
                <w:bCs/>
                <w:sz w:val="18"/>
                <w:szCs w:val="18"/>
              </w:rPr>
            </w:pPr>
            <w:r w:rsidRPr="000439DF">
              <w:rPr>
                <w:b/>
                <w:bCs/>
                <w:sz w:val="18"/>
                <w:szCs w:val="18"/>
              </w:rPr>
              <w:t xml:space="preserve">‘Listen Up’ – ENGAGEMENT EVENTS </w:t>
            </w:r>
          </w:p>
        </w:tc>
        <w:tc>
          <w:tcPr>
            <w:tcW w:w="3118" w:type="dxa"/>
            <w:tcBorders>
              <w:bottom w:val="single" w:sz="4" w:space="0" w:color="auto"/>
            </w:tcBorders>
            <w:shd w:val="clear" w:color="auto" w:fill="DEEAF6" w:themeFill="accent5" w:themeFillTint="33"/>
          </w:tcPr>
          <w:p w14:paraId="17A718BC" w14:textId="1B9B36CD" w:rsidR="00653E9F" w:rsidRPr="000439DF" w:rsidRDefault="00973DFD" w:rsidP="000439DF">
            <w:pPr>
              <w:rPr>
                <w:sz w:val="18"/>
                <w:szCs w:val="18"/>
              </w:rPr>
            </w:pPr>
            <w:r w:rsidRPr="000439DF">
              <w:rPr>
                <w:sz w:val="18"/>
                <w:szCs w:val="18"/>
              </w:rPr>
              <w:t>Understand what good health and wellness looks like to YP</w:t>
            </w:r>
            <w:r w:rsidR="000439DF" w:rsidRPr="000439DF">
              <w:rPr>
                <w:sz w:val="18"/>
                <w:szCs w:val="18"/>
              </w:rPr>
              <w:t>; D</w:t>
            </w:r>
            <w:r w:rsidRPr="000439DF">
              <w:rPr>
                <w:sz w:val="18"/>
                <w:szCs w:val="18"/>
              </w:rPr>
              <w:t>evelop a PROM to help determine if heal</w:t>
            </w:r>
            <w:r w:rsidR="000439DF" w:rsidRPr="000439DF">
              <w:rPr>
                <w:sz w:val="18"/>
                <w:szCs w:val="18"/>
              </w:rPr>
              <w:t>th services meet YP needs</w:t>
            </w:r>
            <w:r w:rsidR="000439DF">
              <w:rPr>
                <w:sz w:val="18"/>
                <w:szCs w:val="18"/>
              </w:rPr>
              <w:t xml:space="preserve">; </w:t>
            </w:r>
            <w:r w:rsidR="000439DF" w:rsidRPr="000439DF">
              <w:rPr>
                <w:sz w:val="18"/>
                <w:szCs w:val="18"/>
              </w:rPr>
              <w:t>Identify YP 'Community Lightning Bolts' to champion the project and provide peer-support</w:t>
            </w:r>
          </w:p>
        </w:tc>
        <w:tc>
          <w:tcPr>
            <w:tcW w:w="5387" w:type="dxa"/>
            <w:tcBorders>
              <w:bottom w:val="single" w:sz="4" w:space="0" w:color="auto"/>
            </w:tcBorders>
            <w:shd w:val="clear" w:color="auto" w:fill="DEEAF6" w:themeFill="accent5" w:themeFillTint="33"/>
          </w:tcPr>
          <w:p w14:paraId="0E748299" w14:textId="0525D69E" w:rsidR="00653E9F" w:rsidRPr="000439DF" w:rsidRDefault="00653E9F">
            <w:pPr>
              <w:rPr>
                <w:sz w:val="18"/>
                <w:szCs w:val="18"/>
              </w:rPr>
            </w:pPr>
            <w:hyperlink r:id="rId4" w:history="1">
              <w:r w:rsidRPr="000439DF">
                <w:rPr>
                  <w:rStyle w:val="Hyperlink"/>
                  <w:sz w:val="18"/>
                  <w:szCs w:val="18"/>
                </w:rPr>
                <w:t>“Whose Shoes”</w:t>
              </w:r>
            </w:hyperlink>
            <w:r w:rsidRPr="000439DF">
              <w:rPr>
                <w:sz w:val="18"/>
                <w:szCs w:val="18"/>
              </w:rPr>
              <w:t xml:space="preserve"> and </w:t>
            </w:r>
            <w:hyperlink r:id="rId5" w:history="1">
              <w:r w:rsidRPr="000439DF">
                <w:rPr>
                  <w:rStyle w:val="Hyperlink"/>
                  <w:sz w:val="18"/>
                  <w:szCs w:val="18"/>
                </w:rPr>
                <w:t>#TeenTalk</w:t>
              </w:r>
            </w:hyperlink>
            <w:r w:rsidRPr="000439DF">
              <w:rPr>
                <w:sz w:val="18"/>
                <w:szCs w:val="18"/>
              </w:rPr>
              <w:t xml:space="preserve"> for guidance on models of facilitation.</w:t>
            </w:r>
          </w:p>
          <w:p w14:paraId="1D8B526A" w14:textId="77777777" w:rsidR="00653E9F" w:rsidRPr="000439DF" w:rsidRDefault="00653E9F">
            <w:pPr>
              <w:rPr>
                <w:sz w:val="18"/>
                <w:szCs w:val="18"/>
              </w:rPr>
            </w:pPr>
          </w:p>
          <w:p w14:paraId="34FB5097" w14:textId="4A1B3066" w:rsidR="00653E9F" w:rsidRPr="000439DF" w:rsidRDefault="00653E9F">
            <w:pPr>
              <w:rPr>
                <w:sz w:val="18"/>
                <w:szCs w:val="18"/>
              </w:rPr>
            </w:pPr>
            <w:r w:rsidRPr="000439DF">
              <w:rPr>
                <w:sz w:val="18"/>
                <w:szCs w:val="18"/>
              </w:rPr>
              <w:t xml:space="preserve">We will use the learning from the </w:t>
            </w:r>
            <w:hyperlink r:id="rId6" w:history="1">
              <w:r w:rsidRPr="000439DF">
                <w:rPr>
                  <w:rStyle w:val="Hyperlink"/>
                  <w:sz w:val="18"/>
                  <w:szCs w:val="18"/>
                </w:rPr>
                <w:t>Health Foundation report</w:t>
              </w:r>
            </w:hyperlink>
            <w:r w:rsidRPr="000439DF">
              <w:rPr>
                <w:sz w:val="18"/>
                <w:szCs w:val="18"/>
              </w:rPr>
              <w:t xml:space="preserve"> on communicating on the social determinants and the </w:t>
            </w:r>
            <w:hyperlink r:id="rId7" w:history="1">
              <w:r w:rsidRPr="000439DF">
                <w:rPr>
                  <w:rStyle w:val="Hyperlink"/>
                  <w:sz w:val="18"/>
                  <w:szCs w:val="18"/>
                </w:rPr>
                <w:t>Health Equals campaign</w:t>
              </w:r>
            </w:hyperlink>
            <w:r w:rsidRPr="000439DF">
              <w:rPr>
                <w:sz w:val="18"/>
                <w:szCs w:val="18"/>
              </w:rPr>
              <w:t xml:space="preserve"> to help frame our engagement events in the best language.  </w:t>
            </w:r>
          </w:p>
        </w:tc>
        <w:tc>
          <w:tcPr>
            <w:tcW w:w="3463" w:type="dxa"/>
            <w:tcBorders>
              <w:bottom w:val="single" w:sz="4" w:space="0" w:color="auto"/>
            </w:tcBorders>
            <w:shd w:val="clear" w:color="auto" w:fill="DEEAF6" w:themeFill="accent5" w:themeFillTint="33"/>
          </w:tcPr>
          <w:p w14:paraId="029DD81E" w14:textId="31AE9BD6" w:rsidR="00653E9F" w:rsidRDefault="00653E9F" w:rsidP="00153852">
            <w:pPr>
              <w:rPr>
                <w:sz w:val="18"/>
                <w:szCs w:val="18"/>
              </w:rPr>
            </w:pPr>
            <w:r w:rsidRPr="000439DF">
              <w:rPr>
                <w:sz w:val="18"/>
                <w:szCs w:val="18"/>
              </w:rPr>
              <w:t>To avoid exacerbating inequalities our Young Advisors will champion the idea in their local areas with a view to bringing in their contacts who might otherwise not engage. We will enlist the BAME networks in our own trusts</w:t>
            </w:r>
            <w:r w:rsidR="00153852">
              <w:rPr>
                <w:sz w:val="18"/>
                <w:szCs w:val="18"/>
              </w:rPr>
              <w:t>, and the BLACHIR network that already straddles Birmingham and London. We will also</w:t>
            </w:r>
            <w:r w:rsidRPr="000439DF">
              <w:rPr>
                <w:sz w:val="18"/>
                <w:szCs w:val="18"/>
              </w:rPr>
              <w:t xml:space="preserve"> ensure that we seek representation from young people whose families do not speak English as a first language. </w:t>
            </w:r>
            <w:r w:rsidR="00D779CB" w:rsidRPr="00D779CB">
              <w:rPr>
                <w:sz w:val="18"/>
                <w:szCs w:val="18"/>
              </w:rPr>
              <w:t>A Health Navigator will increase disability access. </w:t>
            </w:r>
            <w:bookmarkStart w:id="0" w:name="_GoBack"/>
            <w:bookmarkEnd w:id="0"/>
          </w:p>
          <w:p w14:paraId="284F8082" w14:textId="45CDC8D1" w:rsidR="00153852" w:rsidRPr="000439DF" w:rsidRDefault="00153852" w:rsidP="00153852">
            <w:pPr>
              <w:rPr>
                <w:sz w:val="18"/>
                <w:szCs w:val="18"/>
              </w:rPr>
            </w:pPr>
          </w:p>
        </w:tc>
      </w:tr>
      <w:tr w:rsidR="00653E9F" w:rsidRPr="000439DF" w14:paraId="19828885" w14:textId="77777777" w:rsidTr="000439DF">
        <w:tc>
          <w:tcPr>
            <w:tcW w:w="1980" w:type="dxa"/>
            <w:tcBorders>
              <w:bottom w:val="single" w:sz="4" w:space="0" w:color="auto"/>
            </w:tcBorders>
            <w:shd w:val="clear" w:color="auto" w:fill="FFF2CC" w:themeFill="accent4" w:themeFillTint="33"/>
          </w:tcPr>
          <w:p w14:paraId="15139B81" w14:textId="5D4D7004" w:rsidR="00653E9F" w:rsidRPr="000439DF" w:rsidRDefault="00653E9F">
            <w:pPr>
              <w:rPr>
                <w:sz w:val="18"/>
                <w:szCs w:val="18"/>
              </w:rPr>
            </w:pPr>
            <w:r w:rsidRPr="000439DF">
              <w:rPr>
                <w:b/>
                <w:bCs/>
                <w:sz w:val="18"/>
                <w:szCs w:val="18"/>
              </w:rPr>
              <w:t xml:space="preserve">‘Back it Up’ – DIGITAL CREATIVITY </w:t>
            </w:r>
          </w:p>
        </w:tc>
        <w:tc>
          <w:tcPr>
            <w:tcW w:w="3118" w:type="dxa"/>
            <w:tcBorders>
              <w:bottom w:val="single" w:sz="4" w:space="0" w:color="auto"/>
            </w:tcBorders>
            <w:shd w:val="clear" w:color="auto" w:fill="FFF2CC" w:themeFill="accent4" w:themeFillTint="33"/>
          </w:tcPr>
          <w:p w14:paraId="60693FB6" w14:textId="30ADD7BF" w:rsidR="00653E9F" w:rsidRPr="000439DF" w:rsidRDefault="000439DF" w:rsidP="000439DF">
            <w:pPr>
              <w:rPr>
                <w:sz w:val="18"/>
                <w:szCs w:val="18"/>
              </w:rPr>
            </w:pPr>
            <w:r w:rsidRPr="000439DF">
              <w:rPr>
                <w:sz w:val="18"/>
                <w:szCs w:val="18"/>
              </w:rPr>
              <w:t>YP to populate WHAM health inequalities Heatmap with YP relevant resources; Bespoke Social Screening questionnaire for YP</w:t>
            </w:r>
          </w:p>
        </w:tc>
        <w:tc>
          <w:tcPr>
            <w:tcW w:w="5387" w:type="dxa"/>
            <w:tcBorders>
              <w:bottom w:val="single" w:sz="4" w:space="0" w:color="auto"/>
            </w:tcBorders>
            <w:shd w:val="clear" w:color="auto" w:fill="FFF2CC" w:themeFill="accent4" w:themeFillTint="33"/>
          </w:tcPr>
          <w:p w14:paraId="56A45D6B" w14:textId="006C93A8" w:rsidR="00653E9F" w:rsidRPr="000439DF" w:rsidRDefault="00653E9F">
            <w:pPr>
              <w:rPr>
                <w:sz w:val="18"/>
                <w:szCs w:val="18"/>
              </w:rPr>
            </w:pPr>
            <w:r w:rsidRPr="000439DF">
              <w:rPr>
                <w:sz w:val="18"/>
                <w:szCs w:val="18"/>
              </w:rPr>
              <w:t>Leading organisations in the 3</w:t>
            </w:r>
            <w:r w:rsidRPr="000439DF">
              <w:rPr>
                <w:sz w:val="18"/>
                <w:szCs w:val="18"/>
                <w:vertAlign w:val="superscript"/>
              </w:rPr>
              <w:t>rd</w:t>
            </w:r>
            <w:r w:rsidRPr="000439DF">
              <w:rPr>
                <w:sz w:val="18"/>
                <w:szCs w:val="18"/>
              </w:rPr>
              <w:t xml:space="preserve"> sector including 4in10 and Barnados as well as the Royal College of Paediatrics and Child Health</w:t>
            </w:r>
          </w:p>
          <w:p w14:paraId="2C416581" w14:textId="18A6EB7A" w:rsidR="00653E9F" w:rsidRPr="000439DF" w:rsidRDefault="00653E9F">
            <w:pPr>
              <w:rPr>
                <w:sz w:val="18"/>
                <w:szCs w:val="18"/>
              </w:rPr>
            </w:pPr>
          </w:p>
        </w:tc>
        <w:tc>
          <w:tcPr>
            <w:tcW w:w="3463" w:type="dxa"/>
            <w:tcBorders>
              <w:bottom w:val="single" w:sz="4" w:space="0" w:color="auto"/>
            </w:tcBorders>
            <w:shd w:val="clear" w:color="auto" w:fill="FFF2CC" w:themeFill="accent4" w:themeFillTint="33"/>
          </w:tcPr>
          <w:p w14:paraId="39FF4FA4" w14:textId="129F0A8B" w:rsidR="00653E9F" w:rsidRDefault="00653E9F">
            <w:pPr>
              <w:rPr>
                <w:sz w:val="18"/>
                <w:szCs w:val="18"/>
              </w:rPr>
            </w:pPr>
            <w:r w:rsidRPr="000439DF">
              <w:rPr>
                <w:sz w:val="18"/>
                <w:szCs w:val="18"/>
              </w:rPr>
              <w:t>Considering digital exclusion factors that may face certain users but not others (e.g. visual, hearing or other impairments; special educational needs etc), we will seek specialist digital expertise on the team, perhaps even securing these skills through our Young Programmers</w:t>
            </w:r>
            <w:r w:rsidR="00153852">
              <w:rPr>
                <w:sz w:val="18"/>
                <w:szCs w:val="18"/>
              </w:rPr>
              <w:t>.</w:t>
            </w:r>
          </w:p>
          <w:p w14:paraId="63DFBDD5" w14:textId="7C789BD6" w:rsidR="00153852" w:rsidRPr="000439DF" w:rsidRDefault="00153852">
            <w:pPr>
              <w:rPr>
                <w:sz w:val="18"/>
                <w:szCs w:val="18"/>
              </w:rPr>
            </w:pPr>
          </w:p>
        </w:tc>
      </w:tr>
      <w:tr w:rsidR="00653E9F" w:rsidRPr="000439DF" w14:paraId="27B01CF0" w14:textId="77777777" w:rsidTr="000439DF">
        <w:tc>
          <w:tcPr>
            <w:tcW w:w="1980" w:type="dxa"/>
            <w:shd w:val="clear" w:color="auto" w:fill="E2EFD9" w:themeFill="accent6" w:themeFillTint="33"/>
          </w:tcPr>
          <w:p w14:paraId="3FBC1E9F" w14:textId="7F112431" w:rsidR="00653E9F" w:rsidRPr="000439DF" w:rsidRDefault="00653E9F">
            <w:pPr>
              <w:rPr>
                <w:sz w:val="18"/>
                <w:szCs w:val="18"/>
              </w:rPr>
            </w:pPr>
            <w:r w:rsidRPr="000439DF">
              <w:rPr>
                <w:b/>
                <w:bCs/>
                <w:sz w:val="18"/>
                <w:szCs w:val="18"/>
              </w:rPr>
              <w:t>‘Power Up’ – The WHAM METHOD</w:t>
            </w:r>
          </w:p>
        </w:tc>
        <w:tc>
          <w:tcPr>
            <w:tcW w:w="3118" w:type="dxa"/>
            <w:shd w:val="clear" w:color="auto" w:fill="E2EFD9" w:themeFill="accent6" w:themeFillTint="33"/>
          </w:tcPr>
          <w:p w14:paraId="59ABB2C7" w14:textId="70114918" w:rsidR="00653E9F" w:rsidRPr="000439DF" w:rsidRDefault="000439DF" w:rsidP="00CE5530">
            <w:pPr>
              <w:rPr>
                <w:sz w:val="18"/>
                <w:szCs w:val="18"/>
              </w:rPr>
            </w:pPr>
            <w:r w:rsidRPr="000439DF">
              <w:rPr>
                <w:sz w:val="18"/>
                <w:szCs w:val="18"/>
              </w:rPr>
              <w:t>Formation of mixed YP:Clinician 'Adopt &amp; Adapt' Teams to test change ideas</w:t>
            </w:r>
            <w:r w:rsidRPr="000439DF">
              <w:rPr>
                <w:sz w:val="18"/>
                <w:szCs w:val="18"/>
              </w:rPr>
              <w:t>; Develop WHAM Method: how to coach YP through health inequality</w:t>
            </w:r>
          </w:p>
        </w:tc>
        <w:tc>
          <w:tcPr>
            <w:tcW w:w="5387" w:type="dxa"/>
            <w:shd w:val="clear" w:color="auto" w:fill="E2EFD9" w:themeFill="accent6" w:themeFillTint="33"/>
          </w:tcPr>
          <w:p w14:paraId="11B78DC1" w14:textId="40BE255A" w:rsidR="00653E9F" w:rsidRPr="000439DF" w:rsidRDefault="00653E9F" w:rsidP="00CE5530">
            <w:pPr>
              <w:rPr>
                <w:sz w:val="18"/>
                <w:szCs w:val="18"/>
              </w:rPr>
            </w:pPr>
            <w:r w:rsidRPr="000439DF">
              <w:rPr>
                <w:sz w:val="18"/>
                <w:szCs w:val="18"/>
              </w:rPr>
              <w:t>Rather than the traditional didactic, paternalistic model of health education, we want clinicians to see through the lens of health coaching. This will improve adherence to treatment but also improve the quality of the clinician-patient relationship. The clinician’s role will shift from educator to facilitator working in partnership with their patients to help them address what matters to them.</w:t>
            </w:r>
          </w:p>
          <w:p w14:paraId="489C8D4D" w14:textId="77777777" w:rsidR="00653E9F" w:rsidRPr="000439DF" w:rsidRDefault="00653E9F" w:rsidP="00CE5530">
            <w:pPr>
              <w:rPr>
                <w:sz w:val="18"/>
                <w:szCs w:val="18"/>
              </w:rPr>
            </w:pPr>
          </w:p>
          <w:p w14:paraId="2EEF9E77" w14:textId="31E74DFE" w:rsidR="00653E9F" w:rsidRPr="000439DF" w:rsidRDefault="00653E9F" w:rsidP="00CE5530">
            <w:pPr>
              <w:rPr>
                <w:sz w:val="18"/>
                <w:szCs w:val="18"/>
              </w:rPr>
            </w:pPr>
            <w:r w:rsidRPr="000439DF">
              <w:rPr>
                <w:sz w:val="18"/>
                <w:szCs w:val="18"/>
              </w:rPr>
              <w:lastRenderedPageBreak/>
              <w:t>We will have input from Dr Penny Newman (formerly of NHS England Accelerator Prog</w:t>
            </w:r>
            <w:r w:rsidR="000439DF">
              <w:rPr>
                <w:sz w:val="18"/>
                <w:szCs w:val="18"/>
              </w:rPr>
              <w:t>r</w:t>
            </w:r>
            <w:r w:rsidRPr="000439DF">
              <w:rPr>
                <w:sz w:val="18"/>
                <w:szCs w:val="18"/>
              </w:rPr>
              <w:t>amme) and the NHS Youth Forum to ensure it meets service-user’s and coaching needs and think about embedding the WHAM method into health professional training.</w:t>
            </w:r>
          </w:p>
        </w:tc>
        <w:tc>
          <w:tcPr>
            <w:tcW w:w="3463" w:type="dxa"/>
            <w:shd w:val="clear" w:color="auto" w:fill="E2EFD9" w:themeFill="accent6" w:themeFillTint="33"/>
          </w:tcPr>
          <w:p w14:paraId="435989D5" w14:textId="77777777" w:rsidR="00653E9F" w:rsidRPr="000439DF" w:rsidRDefault="00653E9F">
            <w:pPr>
              <w:rPr>
                <w:sz w:val="18"/>
                <w:szCs w:val="18"/>
              </w:rPr>
            </w:pPr>
            <w:r w:rsidRPr="000439DF">
              <w:rPr>
                <w:sz w:val="18"/>
                <w:szCs w:val="18"/>
              </w:rPr>
              <w:lastRenderedPageBreak/>
              <w:t>We are aiming to use the model for improvement to coproduce with young people and continuously improve the WHAM method.</w:t>
            </w:r>
          </w:p>
          <w:p w14:paraId="5424BFB4" w14:textId="77777777" w:rsidR="00653E9F" w:rsidRPr="000439DF" w:rsidRDefault="00653E9F">
            <w:pPr>
              <w:rPr>
                <w:sz w:val="18"/>
                <w:szCs w:val="18"/>
              </w:rPr>
            </w:pPr>
          </w:p>
          <w:p w14:paraId="399F19DE" w14:textId="1887F343" w:rsidR="00653E9F" w:rsidRPr="000439DF" w:rsidRDefault="00653E9F">
            <w:pPr>
              <w:rPr>
                <w:sz w:val="18"/>
                <w:szCs w:val="18"/>
              </w:rPr>
            </w:pPr>
          </w:p>
        </w:tc>
      </w:tr>
    </w:tbl>
    <w:p w14:paraId="6A66BB07" w14:textId="5DF51534" w:rsidR="00EF1239" w:rsidRPr="00CC52C4" w:rsidRDefault="00EF1239" w:rsidP="00742F55"/>
    <w:sectPr w:rsidR="00EF1239" w:rsidRPr="00CC52C4" w:rsidSect="00EF123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9"/>
    <w:rsid w:val="000439DF"/>
    <w:rsid w:val="000833EA"/>
    <w:rsid w:val="000A0A08"/>
    <w:rsid w:val="00101B29"/>
    <w:rsid w:val="00153852"/>
    <w:rsid w:val="002228AD"/>
    <w:rsid w:val="00316E5E"/>
    <w:rsid w:val="00371547"/>
    <w:rsid w:val="003D077F"/>
    <w:rsid w:val="0046179D"/>
    <w:rsid w:val="005A6EFE"/>
    <w:rsid w:val="0060473C"/>
    <w:rsid w:val="00616DBA"/>
    <w:rsid w:val="00653E9F"/>
    <w:rsid w:val="00655451"/>
    <w:rsid w:val="00677EC0"/>
    <w:rsid w:val="00720AA1"/>
    <w:rsid w:val="00742F55"/>
    <w:rsid w:val="008561FC"/>
    <w:rsid w:val="00904FCA"/>
    <w:rsid w:val="00973DFD"/>
    <w:rsid w:val="009D5EA5"/>
    <w:rsid w:val="00A44F79"/>
    <w:rsid w:val="00A82E1D"/>
    <w:rsid w:val="00AD5D3B"/>
    <w:rsid w:val="00BB5ADA"/>
    <w:rsid w:val="00C015B5"/>
    <w:rsid w:val="00CC2708"/>
    <w:rsid w:val="00CC52C4"/>
    <w:rsid w:val="00CE5530"/>
    <w:rsid w:val="00D779CB"/>
    <w:rsid w:val="00DE66AF"/>
    <w:rsid w:val="00DE6C8E"/>
    <w:rsid w:val="00DF7388"/>
    <w:rsid w:val="00E252DC"/>
    <w:rsid w:val="00E80AA3"/>
    <w:rsid w:val="00EF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5B9A"/>
  <w15:chartTrackingRefBased/>
  <w15:docId w15:val="{87255AB1-164C-8345-9917-EE674037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28AD"/>
    <w:rPr>
      <w:color w:val="0563C1" w:themeColor="hyperlink"/>
      <w:u w:val="single"/>
    </w:rPr>
  </w:style>
  <w:style w:type="character" w:customStyle="1" w:styleId="UnresolvedMention">
    <w:name w:val="Unresolved Mention"/>
    <w:basedOn w:val="DefaultParagraphFont"/>
    <w:uiPriority w:val="99"/>
    <w:semiHidden/>
    <w:unhideWhenUsed/>
    <w:rsid w:val="002228AD"/>
    <w:rPr>
      <w:color w:val="605E5C"/>
      <w:shd w:val="clear" w:color="auto" w:fill="E1DFDD"/>
    </w:rPr>
  </w:style>
  <w:style w:type="paragraph" w:styleId="BalloonText">
    <w:name w:val="Balloon Text"/>
    <w:basedOn w:val="Normal"/>
    <w:link w:val="BalloonTextChar"/>
    <w:uiPriority w:val="99"/>
    <w:semiHidden/>
    <w:unhideWhenUsed/>
    <w:rsid w:val="00E80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0AA3"/>
    <w:rPr>
      <w:rFonts w:ascii="Times New Roman" w:hAnsi="Times New Roman" w:cs="Times New Roman"/>
      <w:sz w:val="18"/>
      <w:szCs w:val="18"/>
    </w:rPr>
  </w:style>
  <w:style w:type="paragraph" w:styleId="Revision">
    <w:name w:val="Revision"/>
    <w:hidden/>
    <w:uiPriority w:val="99"/>
    <w:semiHidden/>
    <w:rsid w:val="00BB5ADA"/>
  </w:style>
  <w:style w:type="paragraph" w:styleId="NormalWeb">
    <w:name w:val="Normal (Web)"/>
    <w:basedOn w:val="Normal"/>
    <w:uiPriority w:val="99"/>
    <w:semiHidden/>
    <w:unhideWhenUsed/>
    <w:rsid w:val="000833EA"/>
    <w:pPr>
      <w:spacing w:before="100" w:beforeAutospacing="1" w:after="100" w:afterAutospacing="1"/>
    </w:pPr>
    <w:rPr>
      <w:rFonts w:ascii="Times New Roman" w:eastAsia="Times New Roman" w:hAnsi="Times New Roman" w:cs="Times New Roman"/>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equal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org.uk/publications/reports/reframing-the-conversation-on-the-social-determinants-of-health" TargetMode="External"/><Relationship Id="rId5" Type="http://schemas.openxmlformats.org/officeDocument/2006/relationships/hyperlink" Target="https://www.researchgate.net/publication/348081509_PG23_Teentalk_evaluation_of_a_novel_young-person_led_role-reversal_simulation_for_improving_communication_skills_with_young_people" TargetMode="External"/><Relationship Id="rId4" Type="http://schemas.openxmlformats.org/officeDocument/2006/relationships/hyperlink" Target="http://nutshellcomm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Edward Hickel</dc:creator>
  <cp:keywords/>
  <dc:description/>
  <cp:lastModifiedBy>u200957</cp:lastModifiedBy>
  <cp:revision>19</cp:revision>
  <dcterms:created xsi:type="dcterms:W3CDTF">2023-03-28T08:17:00Z</dcterms:created>
  <dcterms:modified xsi:type="dcterms:W3CDTF">2023-03-28T09:48:00Z</dcterms:modified>
</cp:coreProperties>
</file>